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D268" w14:textId="77777777" w:rsidR="006B1099" w:rsidRDefault="006B1099" w:rsidP="006B1099">
      <w:pPr>
        <w:rPr>
          <w:b/>
          <w:sz w:val="32"/>
        </w:rPr>
      </w:pPr>
      <w:r>
        <w:rPr>
          <w:b/>
          <w:noProof/>
          <w:sz w:val="32"/>
        </w:rPr>
        <mc:AlternateContent>
          <mc:Choice Requires="wps">
            <w:drawing>
              <wp:anchor distT="0" distB="0" distL="114300" distR="114300" simplePos="0" relativeHeight="251659264" behindDoc="0" locked="0" layoutInCell="1" allowOverlap="1" wp14:anchorId="00591BD1" wp14:editId="758CC1E4">
                <wp:simplePos x="0" y="0"/>
                <wp:positionH relativeFrom="column">
                  <wp:posOffset>-205740</wp:posOffset>
                </wp:positionH>
                <wp:positionV relativeFrom="paragraph">
                  <wp:posOffset>312420</wp:posOffset>
                </wp:positionV>
                <wp:extent cx="6271260" cy="0"/>
                <wp:effectExtent l="0" t="0" r="34290" b="19050"/>
                <wp:wrapNone/>
                <wp:docPr id="45" name="Straight Connector 45"/>
                <wp:cNvGraphicFramePr/>
                <a:graphic xmlns:a="http://schemas.openxmlformats.org/drawingml/2006/main">
                  <a:graphicData uri="http://schemas.microsoft.com/office/word/2010/wordprocessingShape">
                    <wps:wsp>
                      <wps:cNvCnPr/>
                      <wps:spPr>
                        <a:xfrm>
                          <a:off x="0" y="0"/>
                          <a:ext cx="6271260" cy="0"/>
                        </a:xfrm>
                        <a:prstGeom prst="line">
                          <a:avLst/>
                        </a:prstGeom>
                        <a:ln w="1270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6688560" id="Straight Connector 4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4.6pt" to="477.6pt,2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" strokecolor="#a5a5a5 [3206]" strokeweight="1pt">
                <v:stroke joinstyle="miter"/>
              </v:line>
            </w:pict>
          </mc:Fallback>
        </mc:AlternateContent>
      </w:r>
    </w:p>
    <w:p w14:paraId="192BC1CA" w14:textId="76C4FC5D" w:rsidR="006B1099" w:rsidRDefault="006B1099" w:rsidP="006B1099">
      <w:r w:rsidRPr="0026705B">
        <w:t xml:space="preserve">Smoke Rise Prep </w:t>
      </w:r>
      <w:r w:rsidR="00030D85">
        <w:t xml:space="preserve">is committed to rigorous academics and </w:t>
      </w:r>
      <w:r w:rsidRPr="0026705B">
        <w:t xml:space="preserve">works closely to ensure students are placed in courses that best meet </w:t>
      </w:r>
      <w:r>
        <w:t>their</w:t>
      </w:r>
      <w:r w:rsidRPr="0026705B">
        <w:t xml:space="preserve"> academic needs and challenge</w:t>
      </w:r>
      <w:r>
        <w:t xml:space="preserve"> them</w:t>
      </w:r>
      <w:r w:rsidRPr="0026705B">
        <w:t xml:space="preserve"> at their </w:t>
      </w:r>
      <w:r>
        <w:t xml:space="preserve">personal </w:t>
      </w:r>
      <w:r w:rsidRPr="0026705B">
        <w:t xml:space="preserve">highest abilities.  </w:t>
      </w:r>
    </w:p>
    <w:p w14:paraId="3EB62C56" w14:textId="7476D701" w:rsidR="006B1099" w:rsidRDefault="00F155BD" w:rsidP="006B1099">
      <w:r>
        <w:rPr>
          <w:b/>
        </w:rPr>
        <w:t>Rigorous Academics</w:t>
      </w:r>
      <w:r w:rsidR="006B1099">
        <w:rPr>
          <w:b/>
        </w:rPr>
        <w:t xml:space="preserve"> are our Standard</w:t>
      </w:r>
      <w:r w:rsidR="006B1099" w:rsidRPr="008C7EBA">
        <w:rPr>
          <w:b/>
        </w:rPr>
        <w:t>!</w:t>
      </w:r>
      <w:r w:rsidR="006B1099">
        <w:t xml:space="preserve"> </w:t>
      </w:r>
      <w:r>
        <w:t xml:space="preserve">Our teachers follow the Georgia standards and utilize additional resources from the curriculum, online, and professional development.  </w:t>
      </w:r>
      <w:r w:rsidR="006B1099" w:rsidRPr="0026705B">
        <w:t>This means that all of our “on grade level” courses are actually taught</w:t>
      </w:r>
      <w:r>
        <w:t xml:space="preserve"> slightly</w:t>
      </w:r>
      <w:r w:rsidR="006B1099" w:rsidRPr="0026705B">
        <w:t xml:space="preserve"> </w:t>
      </w:r>
      <w:r>
        <w:t>above grade</w:t>
      </w:r>
      <w:r w:rsidR="006B1099" w:rsidRPr="0026705B">
        <w:t xml:space="preserve"> level </w:t>
      </w:r>
      <w:r w:rsidR="00030D85">
        <w:t>and we do our best to push ALL students to their potential</w:t>
      </w:r>
      <w:r w:rsidR="001222D1">
        <w:t xml:space="preserve"> and differentiate in class</w:t>
      </w:r>
      <w:r w:rsidR="006B1099" w:rsidRPr="0026705B">
        <w:t>.  When student</w:t>
      </w:r>
      <w:r w:rsidR="006B1099">
        <w:t xml:space="preserve">s excel in one or more subjects, as </w:t>
      </w:r>
      <w:r w:rsidR="006B1099" w:rsidRPr="0026705B">
        <w:t xml:space="preserve">evidenced by interim tests, </w:t>
      </w:r>
      <w:r w:rsidR="00030D85">
        <w:t>standardized test</w:t>
      </w:r>
      <w:r w:rsidR="006B1099" w:rsidRPr="0026705B">
        <w:t xml:space="preserve"> scores, </w:t>
      </w:r>
      <w:r>
        <w:t xml:space="preserve">grades, </w:t>
      </w:r>
      <w:r w:rsidR="006B1099">
        <w:t>and teacher recommendations</w:t>
      </w:r>
      <w:r w:rsidR="006B1099" w:rsidRPr="0026705B">
        <w:t xml:space="preserve">, </w:t>
      </w:r>
      <w:r>
        <w:t>the offer may be extended to participate</w:t>
      </w:r>
      <w:r w:rsidR="006B1099" w:rsidRPr="0026705B">
        <w:t xml:space="preserve"> in </w:t>
      </w:r>
      <w:r w:rsidR="00030D85">
        <w:t>our</w:t>
      </w:r>
      <w:r w:rsidR="002B035C">
        <w:t xml:space="preserve"> Advanced Academic</w:t>
      </w:r>
      <w:r>
        <w:t xml:space="preserve">s </w:t>
      </w:r>
      <w:r w:rsidR="002B035C">
        <w:t>Program (AAP)</w:t>
      </w:r>
      <w:r w:rsidR="006B1099">
        <w:t xml:space="preserve">.  </w:t>
      </w:r>
    </w:p>
    <w:p w14:paraId="1C88E27B" w14:textId="0E233295" w:rsidR="00F155BD" w:rsidRPr="0026705B" w:rsidRDefault="00E2458A" w:rsidP="00F155BD">
      <w:r>
        <w:rPr>
          <w:b/>
        </w:rPr>
        <w:t>Advanced Academics Program</w:t>
      </w:r>
      <w:r w:rsidR="006B1099" w:rsidRPr="0026705B">
        <w:t xml:space="preserve"> – </w:t>
      </w:r>
      <w:r w:rsidR="00F155BD">
        <w:t xml:space="preserve">In addition to our general education classes, SRP is offering the options listed below through our Advanced Academics Program.  The AAP provides additional classroom instruction for students to participate in Accelerated, </w:t>
      </w:r>
      <w:r w:rsidR="000F1FD9">
        <w:t>Advanced</w:t>
      </w:r>
      <w:r w:rsidR="00F155BD">
        <w:t xml:space="preserve">, and/or High School Courses. </w:t>
      </w:r>
      <w:r w:rsidR="000F1FD9">
        <w:t xml:space="preserve">These courses are offered at an additional fee </w:t>
      </w:r>
      <w:r>
        <w:t xml:space="preserve">which is </w:t>
      </w:r>
      <w:r w:rsidR="000F1FD9">
        <w:t>explained below</w:t>
      </w:r>
      <w:r>
        <w:t xml:space="preserve">. </w:t>
      </w:r>
    </w:p>
    <w:p w14:paraId="569739CE" w14:textId="28E05E33" w:rsidR="006B1099" w:rsidRPr="0026705B" w:rsidRDefault="000F1FD9" w:rsidP="006B1099">
      <w:r w:rsidRPr="000F1FD9">
        <w:rPr>
          <w:b/>
        </w:rPr>
        <w:t>Advanced</w:t>
      </w:r>
      <w:r>
        <w:t xml:space="preserve">- </w:t>
      </w:r>
      <w:r w:rsidR="006B1099">
        <w:t>T</w:t>
      </w:r>
      <w:r w:rsidR="006B1099" w:rsidRPr="0026705B">
        <w:t xml:space="preserve">his </w:t>
      </w:r>
      <w:r w:rsidR="006B1099">
        <w:t xml:space="preserve">option is </w:t>
      </w:r>
      <w:r w:rsidR="006B1099" w:rsidRPr="0026705B">
        <w:t>offered</w:t>
      </w:r>
      <w:r>
        <w:t xml:space="preserve"> </w:t>
      </w:r>
      <w:r w:rsidR="006B1099" w:rsidRPr="0026705B">
        <w:t>to students who thrive</w:t>
      </w:r>
      <w:r>
        <w:t xml:space="preserve"> or show above average potential</w:t>
      </w:r>
      <w:r w:rsidR="006B1099" w:rsidRPr="0026705B">
        <w:t xml:space="preserve"> in</w:t>
      </w:r>
      <w:r w:rsidR="001222D1">
        <w:t xml:space="preserve"> English</w:t>
      </w:r>
      <w:r w:rsidR="006B1099" w:rsidRPr="0026705B">
        <w:t xml:space="preserve"> </w:t>
      </w:r>
      <w:r>
        <w:t>Language Arts</w:t>
      </w:r>
      <w:r w:rsidR="001222D1">
        <w:t xml:space="preserve"> (ELA)</w:t>
      </w:r>
      <w:r w:rsidR="006B1099" w:rsidRPr="0026705B">
        <w:t xml:space="preserve">.  </w:t>
      </w:r>
      <w:r>
        <w:t>Beginning in 6</w:t>
      </w:r>
      <w:r w:rsidRPr="000F1FD9">
        <w:rPr>
          <w:vertAlign w:val="superscript"/>
        </w:rPr>
        <w:t>th</w:t>
      </w:r>
      <w:r>
        <w:t xml:space="preserve"> grade, s</w:t>
      </w:r>
      <w:r w:rsidR="006B1099">
        <w:t>tudents</w:t>
      </w:r>
      <w:r w:rsidR="006B1099" w:rsidRPr="0026705B">
        <w:t xml:space="preserve"> are invited to </w:t>
      </w:r>
      <w:r>
        <w:t>dive deeper into the language arts curriculum</w:t>
      </w:r>
      <w:r w:rsidR="005A23A2">
        <w:t xml:space="preserve"> by taking 7</w:t>
      </w:r>
      <w:r w:rsidR="005A23A2" w:rsidRPr="005A23A2">
        <w:rPr>
          <w:vertAlign w:val="superscript"/>
        </w:rPr>
        <w:t>th</w:t>
      </w:r>
      <w:r w:rsidR="005A23A2">
        <w:t xml:space="preserve"> grade ELA.</w:t>
      </w:r>
      <w:r>
        <w:t xml:space="preserve"> </w:t>
      </w:r>
      <w:r w:rsidR="005A23A2">
        <w:t>The next year, they will take the 8</w:t>
      </w:r>
      <w:r w:rsidR="005A23A2" w:rsidRPr="005A23A2">
        <w:rPr>
          <w:vertAlign w:val="superscript"/>
        </w:rPr>
        <w:t>th</w:t>
      </w:r>
      <w:r w:rsidR="005A23A2">
        <w:t xml:space="preserve"> grade course and in their 8</w:t>
      </w:r>
      <w:r w:rsidR="005A23A2" w:rsidRPr="005A23A2">
        <w:rPr>
          <w:vertAlign w:val="superscript"/>
        </w:rPr>
        <w:t>th</w:t>
      </w:r>
      <w:r w:rsidR="005A23A2">
        <w:t xml:space="preserve"> grade year, they will take 9</w:t>
      </w:r>
      <w:r w:rsidR="005A23A2" w:rsidRPr="005A23A2">
        <w:rPr>
          <w:vertAlign w:val="superscript"/>
        </w:rPr>
        <w:t>th</w:t>
      </w:r>
      <w:r w:rsidR="005A23A2">
        <w:t xml:space="preserve"> grade Lit for high school credit.</w:t>
      </w:r>
    </w:p>
    <w:p w14:paraId="029185CE" w14:textId="31D3E0BD" w:rsidR="006B1099" w:rsidRPr="0026705B" w:rsidRDefault="006B1099" w:rsidP="006B1099">
      <w:r w:rsidRPr="0026705B">
        <w:rPr>
          <w:b/>
        </w:rPr>
        <w:t>Accelerated Course</w:t>
      </w:r>
      <w:r w:rsidRPr="0026705B">
        <w:t xml:space="preserve"> – </w:t>
      </w:r>
      <w:r w:rsidR="00DB1567" w:rsidRPr="0026705B">
        <w:t xml:space="preserve">Currently, Math is the only subject that offers accelerated courses. </w:t>
      </w:r>
      <w:r w:rsidRPr="0026705B">
        <w:t xml:space="preserve">It covers three courses over a two-year period.  </w:t>
      </w:r>
      <w:r w:rsidR="000F1FD9">
        <w:t>In 6</w:t>
      </w:r>
      <w:r w:rsidR="000F1FD9" w:rsidRPr="000F1FD9">
        <w:rPr>
          <w:vertAlign w:val="superscript"/>
        </w:rPr>
        <w:t>th</w:t>
      </w:r>
      <w:r w:rsidR="000F1FD9">
        <w:t xml:space="preserve"> grade, student will take all of 6</w:t>
      </w:r>
      <w:r w:rsidR="000F1FD9" w:rsidRPr="000F1FD9">
        <w:rPr>
          <w:vertAlign w:val="superscript"/>
        </w:rPr>
        <w:t>th</w:t>
      </w:r>
      <w:r w:rsidR="000F1FD9">
        <w:t xml:space="preserve"> grade </w:t>
      </w:r>
      <w:r w:rsidR="00DB1567">
        <w:t>and</w:t>
      </w:r>
      <w:r w:rsidR="000F1FD9">
        <w:t xml:space="preserve"> 7</w:t>
      </w:r>
      <w:r w:rsidR="000F1FD9" w:rsidRPr="000F1FD9">
        <w:rPr>
          <w:vertAlign w:val="superscript"/>
        </w:rPr>
        <w:t>th</w:t>
      </w:r>
      <w:r w:rsidR="000F1FD9">
        <w:t xml:space="preserve"> grade </w:t>
      </w:r>
      <w:r w:rsidR="00DB1567">
        <w:t>math</w:t>
      </w:r>
      <w:r w:rsidR="000F1FD9">
        <w:t>. In 7</w:t>
      </w:r>
      <w:r w:rsidR="000F1FD9" w:rsidRPr="000F1FD9">
        <w:rPr>
          <w:vertAlign w:val="superscript"/>
        </w:rPr>
        <w:t>th</w:t>
      </w:r>
      <w:r w:rsidR="000F1FD9">
        <w:t xml:space="preserve"> grade, they will take 8</w:t>
      </w:r>
      <w:r w:rsidR="000F1FD9" w:rsidRPr="000F1FD9">
        <w:rPr>
          <w:vertAlign w:val="superscript"/>
        </w:rPr>
        <w:t>th</w:t>
      </w:r>
      <w:r w:rsidR="000F1FD9">
        <w:t xml:space="preserve"> grade curriculum. </w:t>
      </w:r>
      <w:r w:rsidR="00DB1567">
        <w:t>In 8</w:t>
      </w:r>
      <w:r w:rsidR="00DB1567" w:rsidRPr="00DB1567">
        <w:rPr>
          <w:vertAlign w:val="superscript"/>
        </w:rPr>
        <w:t>th</w:t>
      </w:r>
      <w:r w:rsidR="00DB1567">
        <w:t xml:space="preserve"> grade, they will take Algebra I for a Carnegie Credit. </w:t>
      </w:r>
    </w:p>
    <w:p w14:paraId="21A09381" w14:textId="691EDC31" w:rsidR="006B1099" w:rsidRDefault="006B1099" w:rsidP="006B1099">
      <w:r w:rsidRPr="0026705B">
        <w:rPr>
          <w:b/>
        </w:rPr>
        <w:t>High School Classes</w:t>
      </w:r>
      <w:r w:rsidRPr="0026705B">
        <w:t xml:space="preserve"> –</w:t>
      </w:r>
      <w:r>
        <w:t xml:space="preserve"> </w:t>
      </w:r>
      <w:r w:rsidR="00E2458A">
        <w:t>Ninth grade h</w:t>
      </w:r>
      <w:r w:rsidRPr="0026705B">
        <w:t>igh sc</w:t>
      </w:r>
      <w:r>
        <w:t xml:space="preserve">hool courses are available to </w:t>
      </w:r>
      <w:r w:rsidR="00CF2535">
        <w:t>8th</w:t>
      </w:r>
      <w:r w:rsidRPr="0026705B">
        <w:t xml:space="preserve"> grade students who have </w:t>
      </w:r>
      <w:r>
        <w:t>been offered either acceleration or above grade level courses</w:t>
      </w:r>
      <w:r w:rsidR="00E2458A">
        <w:t xml:space="preserve"> in 6</w:t>
      </w:r>
      <w:r w:rsidR="00E2458A" w:rsidRPr="00E2458A">
        <w:rPr>
          <w:vertAlign w:val="superscript"/>
        </w:rPr>
        <w:t>th</w:t>
      </w:r>
      <w:r w:rsidR="00E2458A">
        <w:t xml:space="preserve"> or 7</w:t>
      </w:r>
      <w:r w:rsidR="00E2458A" w:rsidRPr="00E2458A">
        <w:rPr>
          <w:vertAlign w:val="superscript"/>
        </w:rPr>
        <w:t>th</w:t>
      </w:r>
      <w:r w:rsidR="00E2458A">
        <w:t xml:space="preserve"> grade</w:t>
      </w:r>
      <w:r>
        <w:t xml:space="preserve">.  Most students who participate in the Accelerated or </w:t>
      </w:r>
      <w:r w:rsidR="000F1FD9">
        <w:t>Advanced</w:t>
      </w:r>
      <w:r>
        <w:t xml:space="preserve"> Courses will be in a high school class for that subject when they reach 8</w:t>
      </w:r>
      <w:r w:rsidRPr="0006420F">
        <w:rPr>
          <w:vertAlign w:val="superscript"/>
        </w:rPr>
        <w:t>th</w:t>
      </w:r>
      <w:r>
        <w:t xml:space="preserve"> grade.</w:t>
      </w:r>
      <w:r w:rsidR="000F1FD9">
        <w:t xml:space="preserve"> </w:t>
      </w:r>
      <w:r w:rsidR="005A23A2">
        <w:t>Our current offerings are 9</w:t>
      </w:r>
      <w:r w:rsidR="005A23A2" w:rsidRPr="005A23A2">
        <w:rPr>
          <w:vertAlign w:val="superscript"/>
        </w:rPr>
        <w:t>th</w:t>
      </w:r>
      <w:r w:rsidR="005A23A2">
        <w:t xml:space="preserve"> Grade Lit, Algebra I, and Biology. </w:t>
      </w:r>
      <w:r w:rsidR="00DB1567">
        <w:t xml:space="preserve"> </w:t>
      </w:r>
    </w:p>
    <w:p w14:paraId="28478046" w14:textId="77777777" w:rsidR="006B1099" w:rsidRPr="0006420F" w:rsidRDefault="006B1099" w:rsidP="006B1099">
      <w:pPr>
        <w:jc w:val="center"/>
        <w:rPr>
          <w:b/>
        </w:rPr>
      </w:pPr>
      <w:r w:rsidRPr="00F66890">
        <w:rPr>
          <w:b/>
          <w:sz w:val="28"/>
        </w:rPr>
        <w:t xml:space="preserve">Fees associated with the </w:t>
      </w:r>
      <w:r>
        <w:rPr>
          <w:b/>
          <w:sz w:val="28"/>
        </w:rPr>
        <w:t>Advanced Academic Program</w:t>
      </w:r>
    </w:p>
    <w:p w14:paraId="5230AE79" w14:textId="03ED495B" w:rsidR="006B1099" w:rsidRDefault="00E2458A" w:rsidP="006B1099">
      <w:pPr>
        <w:spacing w:after="0"/>
      </w:pPr>
      <w:r>
        <w:rPr>
          <w:b/>
        </w:rPr>
        <w:t>Advanced, Accelerated, and High School</w:t>
      </w:r>
      <w:r w:rsidR="006B1099" w:rsidRPr="00F66890">
        <w:rPr>
          <w:b/>
        </w:rPr>
        <w:t xml:space="preserve"> Course</w:t>
      </w:r>
      <w:r w:rsidR="006B1099">
        <w:rPr>
          <w:b/>
        </w:rPr>
        <w:t>s</w:t>
      </w:r>
      <w:r w:rsidR="006B1099">
        <w:t>:  Standard tuition plus *$1000/year per above grade level course.</w:t>
      </w:r>
    </w:p>
    <w:p w14:paraId="58D0571E" w14:textId="363AB1F3" w:rsidR="006B1099" w:rsidRDefault="006B1099" w:rsidP="006B1099">
      <w:r>
        <w:t>*Note:  Families will receive a $150/year discount when a student enrolls in two courses</w:t>
      </w:r>
      <w:r w:rsidR="00E2458A">
        <w:t xml:space="preserve"> and </w:t>
      </w:r>
      <w:r>
        <w:t>a $250</w:t>
      </w:r>
      <w:r w:rsidR="00E2458A">
        <w:t>/year discount</w:t>
      </w:r>
      <w:r>
        <w:t xml:space="preserve"> if enrolling in a third course</w:t>
      </w:r>
      <w:r w:rsidR="00E2458A">
        <w:t>.</w:t>
      </w:r>
    </w:p>
    <w:tbl>
      <w:tblPr>
        <w:tblStyle w:val="TableGrid"/>
        <w:tblW w:w="0" w:type="auto"/>
        <w:tblLook w:val="04A0" w:firstRow="1" w:lastRow="0" w:firstColumn="1" w:lastColumn="0" w:noHBand="0" w:noVBand="1"/>
      </w:tblPr>
      <w:tblGrid>
        <w:gridCol w:w="5215"/>
        <w:gridCol w:w="3960"/>
      </w:tblGrid>
      <w:tr w:rsidR="00E2458A" w14:paraId="492B1099" w14:textId="77777777" w:rsidTr="00E2458A">
        <w:tc>
          <w:tcPr>
            <w:tcW w:w="5215" w:type="dxa"/>
          </w:tcPr>
          <w:p w14:paraId="4BAAFD67" w14:textId="77777777" w:rsidR="00E2458A" w:rsidRDefault="00E2458A" w:rsidP="0035696F"/>
        </w:tc>
        <w:tc>
          <w:tcPr>
            <w:tcW w:w="3960" w:type="dxa"/>
          </w:tcPr>
          <w:p w14:paraId="117ED12B" w14:textId="77777777" w:rsidR="00E2458A" w:rsidRDefault="00E2458A" w:rsidP="0035696F">
            <w:pPr>
              <w:jc w:val="center"/>
            </w:pPr>
            <w:r>
              <w:t>Middle/High Tuition</w:t>
            </w:r>
          </w:p>
        </w:tc>
      </w:tr>
      <w:tr w:rsidR="00E2458A" w14:paraId="53D550BA" w14:textId="77777777" w:rsidTr="00E2458A">
        <w:tc>
          <w:tcPr>
            <w:tcW w:w="5215" w:type="dxa"/>
          </w:tcPr>
          <w:p w14:paraId="14289D58" w14:textId="77777777" w:rsidR="00E2458A" w:rsidRDefault="00E2458A" w:rsidP="0035696F">
            <w:r>
              <w:t>Tuition for instruction in standard classes</w:t>
            </w:r>
          </w:p>
        </w:tc>
        <w:tc>
          <w:tcPr>
            <w:tcW w:w="3960" w:type="dxa"/>
          </w:tcPr>
          <w:p w14:paraId="3ECCDA09" w14:textId="57B9E010" w:rsidR="00E2458A" w:rsidRDefault="00E2458A" w:rsidP="00CF2535">
            <w:pPr>
              <w:jc w:val="center"/>
            </w:pPr>
            <w:r>
              <w:t>$8</w:t>
            </w:r>
            <w:r w:rsidR="00DB1567">
              <w:t>6</w:t>
            </w:r>
            <w:r>
              <w:t>00</w:t>
            </w:r>
          </w:p>
        </w:tc>
      </w:tr>
      <w:tr w:rsidR="00E2458A" w14:paraId="33D54A31" w14:textId="77777777" w:rsidTr="00E2458A">
        <w:tc>
          <w:tcPr>
            <w:tcW w:w="5215" w:type="dxa"/>
          </w:tcPr>
          <w:p w14:paraId="3986D805" w14:textId="77777777" w:rsidR="00E2458A" w:rsidRDefault="00E2458A" w:rsidP="0035696F">
            <w:r>
              <w:t>Add-on fee for 1 AAP course</w:t>
            </w:r>
          </w:p>
        </w:tc>
        <w:tc>
          <w:tcPr>
            <w:tcW w:w="3960" w:type="dxa"/>
          </w:tcPr>
          <w:p w14:paraId="5554DDFE" w14:textId="3C0698A6" w:rsidR="00E2458A" w:rsidRDefault="00E2458A" w:rsidP="00CF2535">
            <w:pPr>
              <w:jc w:val="center"/>
            </w:pPr>
            <w:r>
              <w:t>$1000</w:t>
            </w:r>
          </w:p>
        </w:tc>
      </w:tr>
      <w:tr w:rsidR="00E2458A" w14:paraId="5C96D206" w14:textId="77777777" w:rsidTr="00E2458A">
        <w:tc>
          <w:tcPr>
            <w:tcW w:w="5215" w:type="dxa"/>
          </w:tcPr>
          <w:p w14:paraId="188C0961" w14:textId="77777777" w:rsidR="00E2458A" w:rsidRDefault="00E2458A" w:rsidP="0035696F">
            <w:r>
              <w:t>Add-on fee for 2 AAP courses</w:t>
            </w:r>
          </w:p>
        </w:tc>
        <w:tc>
          <w:tcPr>
            <w:tcW w:w="3960" w:type="dxa"/>
          </w:tcPr>
          <w:p w14:paraId="5DFD619E" w14:textId="77777777" w:rsidR="00E2458A" w:rsidRDefault="00E2458A" w:rsidP="00CF2535">
            <w:pPr>
              <w:jc w:val="center"/>
            </w:pPr>
            <w:r>
              <w:t>$1850</w:t>
            </w:r>
          </w:p>
        </w:tc>
      </w:tr>
      <w:tr w:rsidR="00E2458A" w14:paraId="0219DB66" w14:textId="77777777" w:rsidTr="00E2458A">
        <w:tc>
          <w:tcPr>
            <w:tcW w:w="5215" w:type="dxa"/>
          </w:tcPr>
          <w:p w14:paraId="2104120A" w14:textId="77777777" w:rsidR="00E2458A" w:rsidRDefault="00E2458A" w:rsidP="0035696F">
            <w:r>
              <w:t>Add-on fee for 3 AAP courses</w:t>
            </w:r>
          </w:p>
        </w:tc>
        <w:tc>
          <w:tcPr>
            <w:tcW w:w="3960" w:type="dxa"/>
          </w:tcPr>
          <w:p w14:paraId="678F5E19" w14:textId="77777777" w:rsidR="00E2458A" w:rsidRDefault="00E2458A" w:rsidP="001F48E3">
            <w:pPr>
              <w:jc w:val="center"/>
            </w:pPr>
            <w:r>
              <w:t>$2600</w:t>
            </w:r>
          </w:p>
        </w:tc>
      </w:tr>
    </w:tbl>
    <w:p w14:paraId="3363D63D" w14:textId="77777777" w:rsidR="006B1099" w:rsidRPr="00FB21CD" w:rsidRDefault="006B1099" w:rsidP="006B1099">
      <w:pPr>
        <w:keepNext/>
        <w:keepLines/>
        <w:spacing w:before="480" w:after="0" w:line="240" w:lineRule="auto"/>
        <w:outlineLvl w:val="0"/>
        <w:rPr>
          <w:rFonts w:asciiTheme="majorHAnsi" w:eastAsiaTheme="majorEastAsia" w:hAnsiTheme="majorHAnsi" w:cs="Times New Roman"/>
          <w:b/>
          <w:bCs/>
          <w:color w:val="008000"/>
          <w:sz w:val="32"/>
          <w:szCs w:val="28"/>
        </w:rPr>
      </w:pPr>
      <w:r>
        <w:rPr>
          <w:rFonts w:asciiTheme="majorHAnsi" w:eastAsiaTheme="majorEastAsia" w:hAnsiTheme="majorHAnsi" w:cs="Times New Roman"/>
          <w:b/>
          <w:bCs/>
          <w:color w:val="008000"/>
          <w:sz w:val="32"/>
          <w:szCs w:val="28"/>
        </w:rPr>
        <w:lastRenderedPageBreak/>
        <w:t>Benefits</w:t>
      </w:r>
    </w:p>
    <w:p w14:paraId="181EAB55" w14:textId="097DEB34" w:rsidR="006B1099" w:rsidRPr="00172E00" w:rsidRDefault="006B1099" w:rsidP="006B1099">
      <w:pPr>
        <w:keepNext/>
        <w:keepLines/>
        <w:spacing w:before="200" w:after="0" w:line="240" w:lineRule="auto"/>
        <w:outlineLvl w:val="1"/>
        <w:rPr>
          <w:rFonts w:asciiTheme="majorHAnsi" w:eastAsiaTheme="majorEastAsia" w:hAnsiTheme="majorHAnsi" w:cs="Times New Roman"/>
          <w:b/>
          <w:bCs/>
          <w:color w:val="4472C4" w:themeColor="accent1"/>
          <w:sz w:val="24"/>
          <w:szCs w:val="26"/>
        </w:rPr>
      </w:pPr>
      <w:r>
        <w:rPr>
          <w:rFonts w:asciiTheme="majorHAnsi" w:eastAsiaTheme="majorEastAsia" w:hAnsiTheme="majorHAnsi" w:cs="Times New Roman"/>
          <w:b/>
          <w:bCs/>
          <w:color w:val="4472C4" w:themeColor="accent1"/>
          <w:sz w:val="24"/>
          <w:szCs w:val="26"/>
        </w:rPr>
        <w:t xml:space="preserve">What is the benefit of </w:t>
      </w:r>
      <w:r w:rsidR="00546FD0">
        <w:rPr>
          <w:rFonts w:asciiTheme="majorHAnsi" w:eastAsiaTheme="majorEastAsia" w:hAnsiTheme="majorHAnsi" w:cs="Times New Roman"/>
          <w:b/>
          <w:bCs/>
          <w:color w:val="4472C4" w:themeColor="accent1"/>
          <w:sz w:val="24"/>
          <w:szCs w:val="26"/>
        </w:rPr>
        <w:t>the Advanced Academics Program</w:t>
      </w:r>
      <w:r>
        <w:rPr>
          <w:rFonts w:asciiTheme="majorHAnsi" w:eastAsiaTheme="majorEastAsia" w:hAnsiTheme="majorHAnsi" w:cs="Times New Roman"/>
          <w:b/>
          <w:bCs/>
          <w:color w:val="4472C4" w:themeColor="accent1"/>
          <w:sz w:val="24"/>
          <w:szCs w:val="26"/>
        </w:rPr>
        <w:t xml:space="preserve"> for my </w:t>
      </w:r>
      <w:r w:rsidR="00546FD0">
        <w:rPr>
          <w:rFonts w:asciiTheme="majorHAnsi" w:eastAsiaTheme="majorEastAsia" w:hAnsiTheme="majorHAnsi" w:cs="Times New Roman"/>
          <w:b/>
          <w:bCs/>
          <w:color w:val="4472C4" w:themeColor="accent1"/>
          <w:sz w:val="24"/>
          <w:szCs w:val="26"/>
        </w:rPr>
        <w:t>child</w:t>
      </w:r>
      <w:r>
        <w:rPr>
          <w:rFonts w:asciiTheme="majorHAnsi" w:eastAsiaTheme="majorEastAsia" w:hAnsiTheme="majorHAnsi" w:cs="Times New Roman"/>
          <w:b/>
          <w:bCs/>
          <w:color w:val="4472C4" w:themeColor="accent1"/>
          <w:sz w:val="24"/>
          <w:szCs w:val="26"/>
        </w:rPr>
        <w:t>?</w:t>
      </w:r>
    </w:p>
    <w:p w14:paraId="6B9F8A72" w14:textId="77777777" w:rsidR="006B1099" w:rsidRDefault="006B1099" w:rsidP="006B1099">
      <w:pPr>
        <w:keepLines/>
        <w:widowControl w:val="0"/>
        <w:spacing w:before="200" w:after="0" w:line="240" w:lineRule="auto"/>
        <w:outlineLvl w:val="1"/>
      </w:pPr>
      <w:r>
        <w:t>The most obvious benefit is that students will enter high school with some credits already on their record.  This means that they will require fewer courses in high school, which may open doors for high school internships or dual enrollment in college courses in their senior year.</w:t>
      </w:r>
    </w:p>
    <w:p w14:paraId="628F2033" w14:textId="77777777" w:rsidR="006B1099" w:rsidRPr="00172E00" w:rsidRDefault="006B1099" w:rsidP="006B1099">
      <w:pPr>
        <w:keepNext/>
        <w:keepLines/>
        <w:spacing w:before="200" w:after="0" w:line="240" w:lineRule="auto"/>
        <w:outlineLvl w:val="1"/>
        <w:rPr>
          <w:rFonts w:asciiTheme="majorHAnsi" w:eastAsiaTheme="majorEastAsia" w:hAnsiTheme="majorHAnsi" w:cs="Times New Roman"/>
          <w:b/>
          <w:bCs/>
          <w:color w:val="4472C4" w:themeColor="accent1"/>
          <w:sz w:val="24"/>
          <w:szCs w:val="26"/>
        </w:rPr>
      </w:pPr>
      <w:r>
        <w:rPr>
          <w:rFonts w:asciiTheme="majorHAnsi" w:eastAsiaTheme="majorEastAsia" w:hAnsiTheme="majorHAnsi" w:cs="Times New Roman"/>
          <w:b/>
          <w:bCs/>
          <w:color w:val="4472C4" w:themeColor="accent1"/>
          <w:sz w:val="24"/>
          <w:szCs w:val="26"/>
        </w:rPr>
        <w:t>Why should my child to participate in dual enrollment?</w:t>
      </w:r>
    </w:p>
    <w:p w14:paraId="27D33299" w14:textId="77777777" w:rsidR="006B1099" w:rsidRDefault="006B1099" w:rsidP="006B1099">
      <w:pPr>
        <w:keepLines/>
        <w:widowControl w:val="0"/>
        <w:spacing w:before="200" w:after="0" w:line="240" w:lineRule="auto"/>
        <w:outlineLvl w:val="1"/>
      </w:pPr>
      <w:r>
        <w:t>If a Harvard-bound student takes advantage of dual enrollment in high school, and they can take a semester fewer college courses at Harvard, your $3,000 investment at SRP just saved you $33,000 in four years!  Planning to send your student to something that costs closer to UGA?  You still save $10,000 by letting your student leave high school with a half semester of credits under their belt.  This is just one of the many benefits to dual enrollment, but most of them will vary in value from family to family.  There are many articles written about it online.</w:t>
      </w:r>
    </w:p>
    <w:p w14:paraId="6C48EAE6" w14:textId="77777777" w:rsidR="006B1099" w:rsidRPr="00172E00" w:rsidRDefault="006B1099" w:rsidP="006B1099">
      <w:pPr>
        <w:keepNext/>
        <w:keepLines/>
        <w:spacing w:before="200" w:after="0" w:line="240" w:lineRule="auto"/>
        <w:outlineLvl w:val="1"/>
        <w:rPr>
          <w:rFonts w:asciiTheme="majorHAnsi" w:eastAsiaTheme="majorEastAsia" w:hAnsiTheme="majorHAnsi" w:cs="Times New Roman"/>
          <w:b/>
          <w:bCs/>
          <w:color w:val="4472C4" w:themeColor="accent1"/>
          <w:sz w:val="24"/>
          <w:szCs w:val="26"/>
        </w:rPr>
      </w:pPr>
      <w:r>
        <w:rPr>
          <w:rFonts w:asciiTheme="majorHAnsi" w:eastAsiaTheme="majorEastAsia" w:hAnsiTheme="majorHAnsi" w:cs="Times New Roman"/>
          <w:b/>
          <w:bCs/>
          <w:color w:val="4472C4" w:themeColor="accent1"/>
          <w:sz w:val="24"/>
          <w:szCs w:val="26"/>
        </w:rPr>
        <w:t>What if I’m not interested in dual enrollment?  Are there other benefits?</w:t>
      </w:r>
    </w:p>
    <w:p w14:paraId="44687928" w14:textId="39F6A3D5" w:rsidR="006B1099" w:rsidRDefault="006B1099" w:rsidP="006B1099">
      <w:pPr>
        <w:spacing w:before="120"/>
        <w:rPr>
          <w:rFonts w:eastAsia="Times New Roman" w:cs="Times New Roman"/>
        </w:rPr>
      </w:pPr>
      <w:r>
        <w:rPr>
          <w:rFonts w:eastAsia="Times New Roman" w:cs="Times New Roman"/>
        </w:rPr>
        <w:t>We suggest you research the high school your student will be attending.  Advanced courses in Middle School can go a long way into getting them into the right high school programs.  Students who are applying to magnet programs may have requirements for high school courses in 8</w:t>
      </w:r>
      <w:r w:rsidRPr="001B00A5">
        <w:rPr>
          <w:rFonts w:eastAsia="Times New Roman" w:cs="Times New Roman"/>
          <w:vertAlign w:val="superscript"/>
        </w:rPr>
        <w:t>th</w:t>
      </w:r>
      <w:r>
        <w:rPr>
          <w:rFonts w:eastAsia="Times New Roman" w:cs="Times New Roman"/>
        </w:rPr>
        <w:t xml:space="preserve"> grade.  For example, the Gwinnett School of Mathematics, Science, and Technology requires </w:t>
      </w:r>
      <w:r w:rsidRPr="001B00A5">
        <w:rPr>
          <w:rFonts w:eastAsia="Times New Roman" w:cs="Times New Roman"/>
        </w:rPr>
        <w:t>a full unit of Carnegie-eligible (high school) Algebra</w:t>
      </w:r>
      <w:r w:rsidR="00546FD0">
        <w:rPr>
          <w:rFonts w:eastAsia="Times New Roman" w:cs="Times New Roman"/>
        </w:rPr>
        <w:t xml:space="preserve"> I</w:t>
      </w:r>
      <w:r w:rsidRPr="001B00A5">
        <w:rPr>
          <w:rFonts w:eastAsia="Times New Roman" w:cs="Times New Roman"/>
        </w:rPr>
        <w:t xml:space="preserve"> or higher.  (Students currently taking pre-Algebra, Introduction to Algebra/Geometry, or the equivalent are not eligible.)</w:t>
      </w:r>
      <w:r>
        <w:rPr>
          <w:rFonts w:eastAsia="Times New Roman" w:cs="Times New Roman"/>
        </w:rPr>
        <w:t xml:space="preserve"> Advanced/accelerated courses will also help students with immediate placement into honors and high achievement programs in private and public high schools. </w:t>
      </w:r>
    </w:p>
    <w:p w14:paraId="76FCDA41" w14:textId="77777777" w:rsidR="006B1099" w:rsidRPr="00FB21CD" w:rsidRDefault="006B1099" w:rsidP="006B1099">
      <w:pPr>
        <w:keepNext/>
        <w:keepLines/>
        <w:spacing w:before="480" w:after="0" w:line="240" w:lineRule="auto"/>
        <w:outlineLvl w:val="0"/>
        <w:rPr>
          <w:rFonts w:asciiTheme="majorHAnsi" w:eastAsiaTheme="majorEastAsia" w:hAnsiTheme="majorHAnsi" w:cs="Times New Roman"/>
          <w:b/>
          <w:bCs/>
          <w:color w:val="008000"/>
          <w:sz w:val="32"/>
          <w:szCs w:val="28"/>
        </w:rPr>
      </w:pPr>
      <w:r>
        <w:rPr>
          <w:rFonts w:asciiTheme="majorHAnsi" w:eastAsiaTheme="majorEastAsia" w:hAnsiTheme="majorHAnsi" w:cs="Times New Roman"/>
          <w:b/>
          <w:bCs/>
          <w:color w:val="008000"/>
          <w:sz w:val="32"/>
          <w:szCs w:val="28"/>
        </w:rPr>
        <w:t>Eligibility</w:t>
      </w:r>
    </w:p>
    <w:p w14:paraId="1A281913" w14:textId="02EE7044" w:rsidR="006B1099" w:rsidRPr="00172E00" w:rsidRDefault="006B1099" w:rsidP="006B1099">
      <w:pPr>
        <w:keepNext/>
        <w:keepLines/>
        <w:spacing w:before="360" w:after="0" w:line="240" w:lineRule="auto"/>
        <w:outlineLvl w:val="0"/>
        <w:rPr>
          <w:rFonts w:asciiTheme="majorHAnsi" w:eastAsiaTheme="majorEastAsia" w:hAnsiTheme="majorHAnsi" w:cs="Times New Roman"/>
          <w:b/>
          <w:bCs/>
          <w:color w:val="4472C4" w:themeColor="accent1"/>
          <w:sz w:val="24"/>
          <w:szCs w:val="26"/>
        </w:rPr>
      </w:pPr>
      <w:r w:rsidRPr="0055585F">
        <w:rPr>
          <w:rFonts w:asciiTheme="majorHAnsi" w:eastAsiaTheme="majorEastAsia" w:hAnsiTheme="majorHAnsi" w:cs="Times New Roman"/>
          <w:b/>
          <w:bCs/>
          <w:color w:val="4472C4" w:themeColor="accent1"/>
          <w:sz w:val="24"/>
          <w:szCs w:val="26"/>
        </w:rPr>
        <w:t xml:space="preserve">Who is Eligible for </w:t>
      </w:r>
      <w:r w:rsidR="00CF2535">
        <w:rPr>
          <w:rFonts w:asciiTheme="majorHAnsi" w:eastAsiaTheme="majorEastAsia" w:hAnsiTheme="majorHAnsi" w:cs="Times New Roman"/>
          <w:b/>
          <w:bCs/>
          <w:color w:val="4472C4" w:themeColor="accent1"/>
          <w:sz w:val="24"/>
          <w:szCs w:val="26"/>
        </w:rPr>
        <w:t>the Advanced Academics Program</w:t>
      </w:r>
      <w:r w:rsidRPr="0055585F">
        <w:rPr>
          <w:rFonts w:asciiTheme="majorHAnsi" w:eastAsiaTheme="majorEastAsia" w:hAnsiTheme="majorHAnsi" w:cs="Times New Roman"/>
          <w:b/>
          <w:bCs/>
          <w:color w:val="4472C4" w:themeColor="accent1"/>
          <w:sz w:val="24"/>
          <w:szCs w:val="26"/>
        </w:rPr>
        <w:t>?</w:t>
      </w:r>
    </w:p>
    <w:p w14:paraId="5D586E96" w14:textId="77777777" w:rsidR="003047ED" w:rsidRDefault="006B1099" w:rsidP="003047ED">
      <w:pPr>
        <w:spacing w:before="120"/>
        <w:rPr>
          <w:rFonts w:eastAsia="Times New Roman" w:cs="Times New Roman"/>
        </w:rPr>
      </w:pPr>
      <w:r>
        <w:rPr>
          <w:rFonts w:eastAsia="Times New Roman" w:cs="Times New Roman"/>
        </w:rPr>
        <w:t xml:space="preserve">The selection criteria </w:t>
      </w:r>
      <w:proofErr w:type="gramStart"/>
      <w:r w:rsidR="00546FD0">
        <w:rPr>
          <w:rFonts w:eastAsia="Times New Roman" w:cs="Times New Roman"/>
        </w:rPr>
        <w:t>varies</w:t>
      </w:r>
      <w:proofErr w:type="gramEnd"/>
      <w:r w:rsidR="00DB1567">
        <w:rPr>
          <w:rFonts w:eastAsia="Times New Roman" w:cs="Times New Roman"/>
        </w:rPr>
        <w:t xml:space="preserve"> based on</w:t>
      </w:r>
      <w:r w:rsidR="00CF2535">
        <w:rPr>
          <w:rFonts w:eastAsia="Times New Roman" w:cs="Times New Roman"/>
        </w:rPr>
        <w:t xml:space="preserve"> the</w:t>
      </w:r>
      <w:r>
        <w:rPr>
          <w:rFonts w:eastAsia="Times New Roman" w:cs="Times New Roman"/>
        </w:rPr>
        <w:t xml:space="preserve"> courses</w:t>
      </w:r>
      <w:r w:rsidR="00CF2535">
        <w:rPr>
          <w:rFonts w:eastAsia="Times New Roman" w:cs="Times New Roman"/>
        </w:rPr>
        <w:t xml:space="preserve"> we offer</w:t>
      </w:r>
      <w:r>
        <w:rPr>
          <w:rFonts w:eastAsia="Times New Roman" w:cs="Times New Roman"/>
        </w:rPr>
        <w:t xml:space="preserve">.  </w:t>
      </w:r>
      <w:r w:rsidR="00546FD0">
        <w:rPr>
          <w:rFonts w:eastAsia="Times New Roman" w:cs="Times New Roman"/>
        </w:rPr>
        <w:t xml:space="preserve">When we consider placing students in fast paced, accelerated classes we take many factors into consideration. We will look at grades, </w:t>
      </w:r>
      <w:r w:rsidR="00CF2535">
        <w:rPr>
          <w:rFonts w:eastAsia="Times New Roman" w:cs="Times New Roman"/>
        </w:rPr>
        <w:t xml:space="preserve">incoming records, </w:t>
      </w:r>
      <w:r w:rsidR="00546FD0">
        <w:rPr>
          <w:rFonts w:eastAsia="Times New Roman" w:cs="Times New Roman"/>
        </w:rPr>
        <w:t>MAP and Milestone scores (or other standardized testing), teacher referrals, intrinsic motivation of the students, behavioral records, etc. Our goal</w:t>
      </w:r>
      <w:r w:rsidR="00CF2535">
        <w:rPr>
          <w:rFonts w:eastAsia="Times New Roman" w:cs="Times New Roman"/>
        </w:rPr>
        <w:t xml:space="preserve"> is</w:t>
      </w:r>
      <w:r w:rsidR="00546FD0">
        <w:rPr>
          <w:rFonts w:eastAsia="Times New Roman" w:cs="Times New Roman"/>
        </w:rPr>
        <w:t xml:space="preserve"> for students to feel successful and to enjoy learning</w:t>
      </w:r>
      <w:r w:rsidR="00CF2535">
        <w:rPr>
          <w:rFonts w:eastAsia="Times New Roman" w:cs="Times New Roman"/>
        </w:rPr>
        <w:t>,</w:t>
      </w:r>
      <w:r w:rsidR="00546FD0">
        <w:rPr>
          <w:rFonts w:eastAsia="Times New Roman" w:cs="Times New Roman"/>
        </w:rPr>
        <w:t xml:space="preserve"> so it is imperative that </w:t>
      </w:r>
      <w:r w:rsidR="00CF2535">
        <w:rPr>
          <w:rFonts w:eastAsia="Times New Roman" w:cs="Times New Roman"/>
        </w:rPr>
        <w:t>they WANT to be in this course and are willing to work hard to get ahead.</w:t>
      </w:r>
    </w:p>
    <w:p w14:paraId="667F39B2" w14:textId="77777777" w:rsidR="003047ED" w:rsidRDefault="00114551" w:rsidP="003047ED">
      <w:pPr>
        <w:spacing w:before="120"/>
        <w:rPr>
          <w:rFonts w:eastAsia="Times New Roman" w:cs="Times New Roman"/>
        </w:rPr>
      </w:pPr>
      <w:r>
        <w:rPr>
          <w:rFonts w:asciiTheme="majorHAnsi" w:eastAsiaTheme="majorEastAsia" w:hAnsiTheme="majorHAnsi" w:cs="Times New Roman"/>
          <w:b/>
          <w:bCs/>
          <w:color w:val="008000"/>
          <w:sz w:val="32"/>
          <w:szCs w:val="28"/>
        </w:rPr>
        <w:t>Dropping Classes/Changing Your Mind</w:t>
      </w:r>
    </w:p>
    <w:p w14:paraId="5FE36882" w14:textId="77777777" w:rsidR="003047ED" w:rsidRDefault="006B1099" w:rsidP="003047ED">
      <w:pPr>
        <w:spacing w:before="120"/>
        <w:rPr>
          <w:rFonts w:eastAsia="Times New Roman" w:cs="Times New Roman"/>
        </w:rPr>
      </w:pPr>
      <w:r>
        <w:rPr>
          <w:rFonts w:asciiTheme="majorHAnsi" w:eastAsiaTheme="majorEastAsia" w:hAnsiTheme="majorHAnsi" w:cs="Times New Roman"/>
          <w:b/>
          <w:bCs/>
          <w:color w:val="4472C4" w:themeColor="accent1"/>
          <w:sz w:val="24"/>
          <w:szCs w:val="26"/>
        </w:rPr>
        <w:t>Can my student drop an above-grade-level Middle School course</w:t>
      </w:r>
      <w:r w:rsidR="00DB1567">
        <w:rPr>
          <w:rFonts w:asciiTheme="majorHAnsi" w:eastAsiaTheme="majorEastAsia" w:hAnsiTheme="majorHAnsi" w:cs="Times New Roman"/>
          <w:b/>
          <w:bCs/>
          <w:color w:val="4472C4" w:themeColor="accent1"/>
          <w:sz w:val="24"/>
          <w:szCs w:val="26"/>
        </w:rPr>
        <w:t xml:space="preserve"> or High School course</w:t>
      </w:r>
      <w:r>
        <w:rPr>
          <w:rFonts w:asciiTheme="majorHAnsi" w:eastAsiaTheme="majorEastAsia" w:hAnsiTheme="majorHAnsi" w:cs="Times New Roman"/>
          <w:b/>
          <w:bCs/>
          <w:color w:val="4472C4" w:themeColor="accent1"/>
          <w:sz w:val="24"/>
          <w:szCs w:val="26"/>
        </w:rPr>
        <w:t xml:space="preserve"> if it becomes too overwhelming?</w:t>
      </w:r>
    </w:p>
    <w:p w14:paraId="6BCA84C3" w14:textId="4691BBEE" w:rsidR="006B1099" w:rsidRPr="003047ED" w:rsidRDefault="00CF2535" w:rsidP="003047ED">
      <w:pPr>
        <w:spacing w:before="120"/>
        <w:rPr>
          <w:rFonts w:eastAsia="Times New Roman" w:cs="Times New Roman"/>
        </w:rPr>
      </w:pPr>
      <w:r>
        <w:t xml:space="preserve">Students may drop the course within the first 2 weeks of school or at the turn of the semester only. Students must also maintain a high B average or above to stay in the course and may be removed at the end of </w:t>
      </w:r>
      <w:r w:rsidR="00114551">
        <w:t xml:space="preserve">each quarter </w:t>
      </w:r>
      <w:r>
        <w:t xml:space="preserve">if they are unable to </w:t>
      </w:r>
      <w:r w:rsidR="00114551">
        <w:t>maintain this average</w:t>
      </w:r>
      <w:r>
        <w:t xml:space="preserve">.  </w:t>
      </w:r>
      <w:r w:rsidR="006B1099">
        <w:t xml:space="preserve">If you have concerns about your student’s ability to maintain their </w:t>
      </w:r>
      <w:r>
        <w:t>advanced or accelerated</w:t>
      </w:r>
      <w:r w:rsidR="006B1099">
        <w:t xml:space="preserve"> course</w:t>
      </w:r>
      <w:r>
        <w:t>s</w:t>
      </w:r>
      <w:r w:rsidR="006B1099">
        <w:t xml:space="preserve">, speak to </w:t>
      </w:r>
      <w:r>
        <w:t>your</w:t>
      </w:r>
      <w:r w:rsidR="006B1099">
        <w:t xml:space="preserve"> homeroom teacher right away.  </w:t>
      </w:r>
    </w:p>
    <w:p w14:paraId="53542506" w14:textId="77777777" w:rsidR="006B1099" w:rsidRDefault="006B1099" w:rsidP="006B1099">
      <w:pPr>
        <w:keepNext/>
        <w:keepLines/>
        <w:spacing w:before="200" w:after="0" w:line="240" w:lineRule="auto"/>
        <w:outlineLvl w:val="1"/>
        <w:rPr>
          <w:rFonts w:asciiTheme="majorHAnsi" w:eastAsiaTheme="majorEastAsia" w:hAnsiTheme="majorHAnsi" w:cs="Times New Roman"/>
          <w:b/>
          <w:bCs/>
          <w:color w:val="008000"/>
          <w:sz w:val="32"/>
          <w:szCs w:val="28"/>
        </w:rPr>
      </w:pPr>
      <w:r>
        <w:rPr>
          <w:rFonts w:asciiTheme="majorHAnsi" w:eastAsiaTheme="majorEastAsia" w:hAnsiTheme="majorHAnsi" w:cs="Times New Roman"/>
          <w:b/>
          <w:bCs/>
          <w:color w:val="008000"/>
          <w:sz w:val="32"/>
          <w:szCs w:val="28"/>
        </w:rPr>
        <w:lastRenderedPageBreak/>
        <w:t>High School Grades/Credits</w:t>
      </w:r>
    </w:p>
    <w:p w14:paraId="5E1D3E81" w14:textId="3D2338DD" w:rsidR="006B1099" w:rsidRDefault="006B1099" w:rsidP="006B1099">
      <w:pPr>
        <w:keepNext/>
        <w:keepLines/>
        <w:spacing w:before="200" w:after="0" w:line="240" w:lineRule="auto"/>
        <w:outlineLvl w:val="1"/>
        <w:rPr>
          <w:rFonts w:asciiTheme="majorHAnsi" w:eastAsiaTheme="majorEastAsia" w:hAnsiTheme="majorHAnsi" w:cs="Times New Roman"/>
          <w:b/>
          <w:bCs/>
          <w:color w:val="008000"/>
          <w:sz w:val="32"/>
          <w:szCs w:val="28"/>
        </w:rPr>
      </w:pPr>
      <w:r>
        <w:rPr>
          <w:rFonts w:asciiTheme="majorHAnsi" w:eastAsiaTheme="majorEastAsia" w:hAnsiTheme="majorHAnsi" w:cs="Times New Roman"/>
          <w:b/>
          <w:bCs/>
          <w:color w:val="4472C4" w:themeColor="accent1"/>
          <w:sz w:val="24"/>
          <w:szCs w:val="26"/>
        </w:rPr>
        <w:t>How will the high school courses</w:t>
      </w:r>
      <w:r w:rsidR="00114551">
        <w:rPr>
          <w:rFonts w:asciiTheme="majorHAnsi" w:eastAsiaTheme="majorEastAsia" w:hAnsiTheme="majorHAnsi" w:cs="Times New Roman"/>
          <w:b/>
          <w:bCs/>
          <w:color w:val="4472C4" w:themeColor="accent1"/>
          <w:sz w:val="24"/>
          <w:szCs w:val="26"/>
        </w:rPr>
        <w:t xml:space="preserve"> from Smoke Rise Prep</w:t>
      </w:r>
      <w:r>
        <w:rPr>
          <w:rFonts w:asciiTheme="majorHAnsi" w:eastAsiaTheme="majorEastAsia" w:hAnsiTheme="majorHAnsi" w:cs="Times New Roman"/>
          <w:b/>
          <w:bCs/>
          <w:color w:val="4472C4" w:themeColor="accent1"/>
          <w:sz w:val="24"/>
          <w:szCs w:val="26"/>
        </w:rPr>
        <w:t xml:space="preserve"> affect my high school grades and/or classes</w:t>
      </w:r>
      <w:r w:rsidR="00114551">
        <w:rPr>
          <w:rFonts w:asciiTheme="majorHAnsi" w:eastAsiaTheme="majorEastAsia" w:hAnsiTheme="majorHAnsi" w:cs="Times New Roman"/>
          <w:b/>
          <w:bCs/>
          <w:color w:val="4472C4" w:themeColor="accent1"/>
          <w:sz w:val="24"/>
          <w:szCs w:val="26"/>
        </w:rPr>
        <w:t xml:space="preserve"> when I go off to high school</w:t>
      </w:r>
      <w:r>
        <w:rPr>
          <w:rFonts w:asciiTheme="majorHAnsi" w:eastAsiaTheme="majorEastAsia" w:hAnsiTheme="majorHAnsi" w:cs="Times New Roman"/>
          <w:b/>
          <w:bCs/>
          <w:color w:val="4472C4" w:themeColor="accent1"/>
          <w:sz w:val="24"/>
          <w:szCs w:val="26"/>
        </w:rPr>
        <w:t>?</w:t>
      </w:r>
    </w:p>
    <w:p w14:paraId="5AD3DD2C" w14:textId="7A218FA1" w:rsidR="000B0E09" w:rsidRDefault="006B1099" w:rsidP="006B1099">
      <w:pPr>
        <w:keepNext/>
        <w:keepLines/>
        <w:spacing w:before="200" w:after="0" w:line="240" w:lineRule="auto"/>
        <w:outlineLvl w:val="1"/>
      </w:pPr>
      <w:r>
        <w:t>At the end of the year,</w:t>
      </w:r>
      <w:r w:rsidR="00114551">
        <w:t xml:space="preserve"> </w:t>
      </w:r>
      <w:r>
        <w:t>students</w:t>
      </w:r>
      <w:r w:rsidR="00114551">
        <w:t xml:space="preserve"> are given</w:t>
      </w:r>
      <w:r>
        <w:t xml:space="preserve"> the opportunity to accept the grade they received in each high school class as the official grade that will show on their high school transcript.  If they choose this grade, this will count as a high school credit for that course.  If a student does poorly in the class</w:t>
      </w:r>
      <w:r w:rsidR="00114551">
        <w:t xml:space="preserve"> </w:t>
      </w:r>
      <w:r>
        <w:t>or does not wish to count the class on their official transcript for any other reason, they may choose NOT to have this count on their high school transcript, and this will only appear as their 8</w:t>
      </w:r>
      <w:r w:rsidRPr="2FFCD403">
        <w:rPr>
          <w:vertAlign w:val="superscript"/>
        </w:rPr>
        <w:t>th</w:t>
      </w:r>
      <w:r>
        <w:t xml:space="preserve"> grade course for that subject.  They will need to retake the course in high school.</w:t>
      </w:r>
    </w:p>
    <w:p w14:paraId="72FF7140" w14:textId="21BEB1F4" w:rsidR="000B0E09" w:rsidRPr="000B0E09" w:rsidRDefault="000B0E09" w:rsidP="006B1099">
      <w:pPr>
        <w:keepNext/>
        <w:keepLines/>
        <w:spacing w:before="200" w:after="0" w:line="240" w:lineRule="auto"/>
        <w:outlineLvl w:val="1"/>
        <w:rPr>
          <w:rFonts w:asciiTheme="majorHAnsi" w:hAnsiTheme="majorHAnsi" w:cstheme="majorHAnsi"/>
          <w:b/>
          <w:bCs/>
          <w:color w:val="4472C4" w:themeColor="accent1"/>
          <w:sz w:val="24"/>
          <w:szCs w:val="24"/>
        </w:rPr>
      </w:pPr>
      <w:r w:rsidRPr="000B0E09">
        <w:rPr>
          <w:rFonts w:asciiTheme="majorHAnsi" w:hAnsiTheme="majorHAnsi" w:cstheme="majorHAnsi"/>
          <w:b/>
          <w:bCs/>
          <w:color w:val="4472C4" w:themeColor="accent1"/>
          <w:sz w:val="24"/>
          <w:szCs w:val="24"/>
        </w:rPr>
        <w:t>How does this affect the HOPE scholarship?</w:t>
      </w:r>
    </w:p>
    <w:p w14:paraId="2BBDAB91" w14:textId="23938695" w:rsidR="000B0E09" w:rsidRDefault="000B0E09" w:rsidP="006B1099">
      <w:pPr>
        <w:keepNext/>
        <w:keepLines/>
        <w:spacing w:before="200" w:after="0" w:line="240" w:lineRule="auto"/>
        <w:outlineLvl w:val="1"/>
      </w:pPr>
      <w:r>
        <w:t xml:space="preserve">Accelerated classes taken in middle school affect your high school GPA; however, they are not considered for HOPE scholarship funds. </w:t>
      </w:r>
    </w:p>
    <w:p w14:paraId="7D2E2F1E" w14:textId="77777777" w:rsidR="006B1099" w:rsidRPr="00FB21CD" w:rsidRDefault="006B1099" w:rsidP="006B1099">
      <w:pPr>
        <w:keepNext/>
        <w:keepLines/>
        <w:spacing w:before="200" w:after="0" w:line="240" w:lineRule="auto"/>
        <w:outlineLvl w:val="1"/>
        <w:rPr>
          <w:rFonts w:asciiTheme="majorHAnsi" w:eastAsiaTheme="majorEastAsia" w:hAnsiTheme="majorHAnsi" w:cs="Times New Roman"/>
          <w:b/>
          <w:bCs/>
          <w:color w:val="008000"/>
          <w:sz w:val="32"/>
          <w:szCs w:val="28"/>
        </w:rPr>
      </w:pPr>
      <w:r>
        <w:rPr>
          <w:rFonts w:asciiTheme="majorHAnsi" w:eastAsiaTheme="majorEastAsia" w:hAnsiTheme="majorHAnsi" w:cs="Times New Roman"/>
          <w:b/>
          <w:bCs/>
          <w:color w:val="008000"/>
          <w:sz w:val="32"/>
          <w:szCs w:val="28"/>
        </w:rPr>
        <w:t>Turning Down Advancement Invitations</w:t>
      </w:r>
    </w:p>
    <w:p w14:paraId="6CAF0DDE" w14:textId="7CEDEC13" w:rsidR="006B1099" w:rsidRDefault="00114551" w:rsidP="006B1099">
      <w:pPr>
        <w:keepNext/>
        <w:keepLines/>
        <w:spacing w:before="200" w:after="0" w:line="240" w:lineRule="auto"/>
        <w:outlineLvl w:val="1"/>
        <w:rPr>
          <w:rFonts w:eastAsiaTheme="majorEastAsia" w:cstheme="minorHAnsi"/>
          <w:bCs/>
        </w:rPr>
      </w:pPr>
      <w:r w:rsidRPr="00114551">
        <w:rPr>
          <w:rFonts w:eastAsiaTheme="majorEastAsia" w:cstheme="minorHAnsi"/>
          <w:bCs/>
        </w:rPr>
        <w:t xml:space="preserve">Accepting invitations to the Advanced Academic Program is optional but strongly encouraged for students that display potential. Parents must understand that there is an additional fee that comes with these courses and even if their child does poorly, is removed, or opts out, they are responsible for the advanced fees for the year. </w:t>
      </w:r>
      <w:r w:rsidR="000B0E09">
        <w:rPr>
          <w:rFonts w:eastAsiaTheme="majorEastAsia" w:cstheme="minorHAnsi"/>
          <w:bCs/>
        </w:rPr>
        <w:t xml:space="preserve">There are very few exceptions to this. </w:t>
      </w:r>
      <w:r w:rsidRPr="00114551">
        <w:rPr>
          <w:rFonts w:eastAsiaTheme="majorEastAsia" w:cstheme="minorHAnsi"/>
          <w:bCs/>
        </w:rPr>
        <w:t xml:space="preserve">We highly advise that you talk with your child about academic expectations, increased homework load, </w:t>
      </w:r>
      <w:r w:rsidR="000B0E09">
        <w:rPr>
          <w:rFonts w:eastAsiaTheme="majorEastAsia" w:cstheme="minorHAnsi"/>
          <w:bCs/>
        </w:rPr>
        <w:t xml:space="preserve">scholarship opportunities, career goals, </w:t>
      </w:r>
      <w:r w:rsidRPr="00114551">
        <w:rPr>
          <w:rFonts w:eastAsiaTheme="majorEastAsia" w:cstheme="minorHAnsi"/>
          <w:bCs/>
        </w:rPr>
        <w:t xml:space="preserve">and high school and beyond plans before agreeing to sign up for these courses. </w:t>
      </w:r>
    </w:p>
    <w:p w14:paraId="264308F7" w14:textId="74BBACC4" w:rsidR="00114551" w:rsidRDefault="00114551" w:rsidP="006B1099">
      <w:pPr>
        <w:keepNext/>
        <w:keepLines/>
        <w:spacing w:before="200" w:after="0" w:line="240" w:lineRule="auto"/>
        <w:outlineLvl w:val="1"/>
        <w:rPr>
          <w:rFonts w:eastAsiaTheme="majorEastAsia" w:cstheme="minorHAnsi"/>
          <w:bCs/>
        </w:rPr>
      </w:pPr>
    </w:p>
    <w:p w14:paraId="5EDFCE84" w14:textId="1859BD16" w:rsidR="00114551" w:rsidRPr="00114551" w:rsidRDefault="00114551" w:rsidP="006B1099">
      <w:pPr>
        <w:keepNext/>
        <w:keepLines/>
        <w:spacing w:before="200" w:after="0" w:line="240" w:lineRule="auto"/>
        <w:outlineLvl w:val="1"/>
        <w:rPr>
          <w:rFonts w:cstheme="minorHAnsi"/>
        </w:rPr>
      </w:pPr>
    </w:p>
    <w:p w14:paraId="12B3DD7C" w14:textId="77777777" w:rsidR="006B1099" w:rsidRDefault="006B1099"/>
    <w:sectPr w:rsidR="006B1099" w:rsidSect="00DD3120">
      <w:headerReference w:type="default" r:id="rId6"/>
      <w:footerReference w:type="default" r:id="rId7"/>
      <w:headerReference w:type="first" r:id="rId8"/>
      <w:pgSz w:w="12240" w:h="15840"/>
      <w:pgMar w:top="810" w:right="1170" w:bottom="45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F5E9" w14:textId="77777777" w:rsidR="009E26DC" w:rsidRDefault="009E26DC" w:rsidP="001F48E3">
      <w:pPr>
        <w:spacing w:after="0" w:line="240" w:lineRule="auto"/>
      </w:pPr>
      <w:r>
        <w:separator/>
      </w:r>
    </w:p>
  </w:endnote>
  <w:endnote w:type="continuationSeparator" w:id="0">
    <w:p w14:paraId="4BD23510" w14:textId="77777777" w:rsidR="009E26DC" w:rsidRDefault="009E26DC" w:rsidP="001F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47B4" w14:textId="77777777" w:rsidR="004A5B89" w:rsidRDefault="007B6ABF">
    <w:pPr>
      <w:pStyle w:val="Footer"/>
    </w:pPr>
    <w:r>
      <w:rPr>
        <w:noProof/>
      </w:rPr>
      <mc:AlternateContent>
        <mc:Choice Requires="wps">
          <w:drawing>
            <wp:anchor distT="0" distB="0" distL="114300" distR="114300" simplePos="0" relativeHeight="251659264" behindDoc="0" locked="0" layoutInCell="1" allowOverlap="1" wp14:anchorId="4529F6A8" wp14:editId="75E8677D">
              <wp:simplePos x="0" y="0"/>
              <wp:positionH relativeFrom="margin">
                <wp:posOffset>-142875</wp:posOffset>
              </wp:positionH>
              <wp:positionV relativeFrom="paragraph">
                <wp:posOffset>16510</wp:posOffset>
              </wp:positionV>
              <wp:extent cx="63817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flipV="1">
                        <a:off x="0" y="0"/>
                        <a:ext cx="6381750" cy="0"/>
                      </a:xfrm>
                      <a:prstGeom prst="line">
                        <a:avLst/>
                      </a:prstGeom>
                      <a:ln w="19050">
                        <a:solidFill>
                          <a:srgbClr val="80808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2DE45" id="Straight Connector 10" o:spid="_x0000_s1026" style="position:absolute;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1.3pt" to="491.2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" strokecolor="gray" strokeweight="1.5pt">
              <v:stroke joinstyle="miter"/>
              <w10:wrap anchorx="margin"/>
            </v:line>
          </w:pict>
        </mc:Fallback>
      </mc:AlternateContent>
    </w:r>
    <w:r>
      <w:ptab w:relativeTo="margin" w:alignment="center" w:leader="none"/>
    </w:r>
  </w:p>
  <w:p w14:paraId="0AAA8C8D" w14:textId="77777777" w:rsidR="00653217" w:rsidRDefault="007B6ABF" w:rsidP="004A5B89">
    <w:pPr>
      <w:pStyle w:val="Footer"/>
    </w:pPr>
    <w:r>
      <w:t xml:space="preserve">                                       </w:t>
    </w:r>
    <w:r>
      <w:rPr>
        <w:rFonts w:asciiTheme="majorHAnsi" w:hAnsiTheme="majorHAnsi"/>
      </w:rPr>
      <w:t xml:space="preserve">4426 Hugh Howell Road   |    </w:t>
    </w:r>
    <w:r w:rsidRPr="00904240">
      <w:rPr>
        <w:rFonts w:asciiTheme="majorHAnsi" w:hAnsiTheme="majorHAnsi"/>
      </w:rPr>
      <w:t>S</w:t>
    </w:r>
    <w:r>
      <w:rPr>
        <w:rFonts w:asciiTheme="majorHAnsi" w:hAnsiTheme="majorHAnsi"/>
      </w:rPr>
      <w:t>ui</w:t>
    </w:r>
    <w:r w:rsidRPr="00904240">
      <w:rPr>
        <w:rFonts w:asciiTheme="majorHAnsi" w:hAnsiTheme="majorHAnsi"/>
      </w:rPr>
      <w:t>te 169</w:t>
    </w:r>
    <w:r>
      <w:rPr>
        <w:rFonts w:asciiTheme="majorHAnsi" w:hAnsiTheme="majorHAnsi"/>
      </w:rPr>
      <w:t xml:space="preserve">    |     Tucker, GA 30084</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4AFFB" w14:textId="77777777" w:rsidR="009E26DC" w:rsidRDefault="009E26DC" w:rsidP="001F48E3">
      <w:pPr>
        <w:spacing w:after="0" w:line="240" w:lineRule="auto"/>
      </w:pPr>
      <w:r>
        <w:separator/>
      </w:r>
    </w:p>
  </w:footnote>
  <w:footnote w:type="continuationSeparator" w:id="0">
    <w:p w14:paraId="00F91394" w14:textId="77777777" w:rsidR="009E26DC" w:rsidRDefault="009E26DC" w:rsidP="001F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FBCA" w14:textId="77777777" w:rsidR="00653217" w:rsidRDefault="007B6ABF" w:rsidP="0001628E">
    <w:pPr>
      <w:pStyle w:val="Header"/>
    </w:pPr>
    <w:r>
      <w:rPr>
        <w:noProof/>
      </w:rPr>
      <w:drawing>
        <wp:anchor distT="0" distB="0" distL="114300" distR="114300" simplePos="0" relativeHeight="251660288" behindDoc="0" locked="0" layoutInCell="1" allowOverlap="1" wp14:anchorId="2D165D49" wp14:editId="4E058772">
          <wp:simplePos x="0" y="0"/>
          <wp:positionH relativeFrom="column">
            <wp:posOffset>-294641</wp:posOffset>
          </wp:positionH>
          <wp:positionV relativeFrom="page">
            <wp:posOffset>466090</wp:posOffset>
          </wp:positionV>
          <wp:extent cx="2047240" cy="1142365"/>
          <wp:effectExtent l="76200" t="133350" r="67310" b="133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Q-Banner.jpg"/>
                  <pic:cNvPicPr/>
                </pic:nvPicPr>
                <pic:blipFill>
                  <a:blip r:embed="rId1">
                    <a:extLst>
                      <a:ext uri="{28A0092B-C50C-407E-A947-70E740481C1C}">
                        <a14:useLocalDpi xmlns:a14="http://schemas.microsoft.com/office/drawing/2010/main" val="0"/>
                      </a:ext>
                    </a:extLst>
                  </a:blip>
                  <a:stretch>
                    <a:fillRect/>
                  </a:stretch>
                </pic:blipFill>
                <pic:spPr>
                  <a:xfrm rot="21166675">
                    <a:off x="0" y="0"/>
                    <a:ext cx="204724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BA01" w14:textId="77777777" w:rsidR="00653217" w:rsidRDefault="007B6ABF">
    <w:pPr>
      <w:pStyle w:val="Header"/>
    </w:pPr>
    <w:r>
      <w:rPr>
        <w:noProof/>
      </w:rPr>
      <w:drawing>
        <wp:anchor distT="0" distB="0" distL="114300" distR="114300" simplePos="0" relativeHeight="251661312" behindDoc="0" locked="0" layoutInCell="1" allowOverlap="1" wp14:anchorId="6FD72C28" wp14:editId="2CC5DD37">
          <wp:simplePos x="0" y="0"/>
          <wp:positionH relativeFrom="column">
            <wp:posOffset>388620</wp:posOffset>
          </wp:positionH>
          <wp:positionV relativeFrom="paragraph">
            <wp:posOffset>-49530</wp:posOffset>
          </wp:positionV>
          <wp:extent cx="751404" cy="105918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2.JPG"/>
                  <pic:cNvPicPr/>
                </pic:nvPicPr>
                <pic:blipFill>
                  <a:blip r:embed="rId1">
                    <a:extLst>
                      <a:ext uri="{28A0092B-C50C-407E-A947-70E740481C1C}">
                        <a14:useLocalDpi xmlns:a14="http://schemas.microsoft.com/office/drawing/2010/main" val="0"/>
                      </a:ext>
                    </a:extLst>
                  </a:blip>
                  <a:stretch>
                    <a:fillRect/>
                  </a:stretch>
                </pic:blipFill>
                <pic:spPr>
                  <a:xfrm>
                    <a:off x="0" y="0"/>
                    <a:ext cx="751404" cy="1059180"/>
                  </a:xfrm>
                  <a:prstGeom prst="rect">
                    <a:avLst/>
                  </a:prstGeom>
                </pic:spPr>
              </pic:pic>
            </a:graphicData>
          </a:graphic>
        </wp:anchor>
      </w:drawing>
    </w:r>
    <w:r>
      <w:t xml:space="preserve">                                               </w:t>
    </w:r>
  </w:p>
  <w:p w14:paraId="7B677AE5" w14:textId="61456451" w:rsidR="00653217" w:rsidRPr="00046B82" w:rsidRDefault="00DB1567" w:rsidP="00046B82">
    <w:pPr>
      <w:pStyle w:val="Header"/>
      <w:tabs>
        <w:tab w:val="clear" w:pos="4680"/>
        <w:tab w:val="center" w:pos="4500"/>
      </w:tabs>
      <w:jc w:val="center"/>
      <w:rPr>
        <w:sz w:val="40"/>
      </w:rPr>
    </w:pPr>
    <w:r>
      <w:rPr>
        <w:sz w:val="40"/>
      </w:rPr>
      <w:t>2020-2021</w:t>
    </w:r>
  </w:p>
  <w:p w14:paraId="4BE2AEC8" w14:textId="77777777" w:rsidR="00653217" w:rsidRPr="00046B82" w:rsidRDefault="007B6ABF" w:rsidP="00046B82">
    <w:pPr>
      <w:pStyle w:val="Header"/>
      <w:jc w:val="center"/>
      <w:rPr>
        <w:sz w:val="40"/>
      </w:rPr>
    </w:pPr>
    <w:r w:rsidRPr="00046B82">
      <w:rPr>
        <w:sz w:val="40"/>
      </w:rPr>
      <w:t>Advanced Academic</w:t>
    </w:r>
    <w:r>
      <w:rPr>
        <w:sz w:val="40"/>
      </w:rPr>
      <w:t>s</w:t>
    </w:r>
    <w:r w:rsidRPr="00046B82">
      <w:rPr>
        <w:sz w:val="40"/>
      </w:rPr>
      <w:t xml:space="preserve"> Program</w:t>
    </w:r>
    <w:r>
      <w:rPr>
        <w:sz w:val="40"/>
      </w:rPr>
      <w:t xml:space="preserve"> (AAP)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99"/>
    <w:rsid w:val="00030D85"/>
    <w:rsid w:val="000B0E09"/>
    <w:rsid w:val="000F1FD9"/>
    <w:rsid w:val="00114551"/>
    <w:rsid w:val="001222D1"/>
    <w:rsid w:val="001F48E3"/>
    <w:rsid w:val="002B035C"/>
    <w:rsid w:val="003047ED"/>
    <w:rsid w:val="003C6F19"/>
    <w:rsid w:val="00546FD0"/>
    <w:rsid w:val="005A23A2"/>
    <w:rsid w:val="00697991"/>
    <w:rsid w:val="006B1099"/>
    <w:rsid w:val="007B6ABF"/>
    <w:rsid w:val="008C20FA"/>
    <w:rsid w:val="008D7C5C"/>
    <w:rsid w:val="009E26DC"/>
    <w:rsid w:val="00CF2535"/>
    <w:rsid w:val="00DB1567"/>
    <w:rsid w:val="00E2458A"/>
    <w:rsid w:val="00F1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B1D6F"/>
  <w15:chartTrackingRefBased/>
  <w15:docId w15:val="{EB6E5E90-DDC8-1F4B-840E-ABF8F18F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09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099"/>
    <w:rPr>
      <w:sz w:val="22"/>
      <w:szCs w:val="22"/>
    </w:rPr>
  </w:style>
  <w:style w:type="paragraph" w:styleId="Footer">
    <w:name w:val="footer"/>
    <w:basedOn w:val="Normal"/>
    <w:link w:val="FooterChar"/>
    <w:uiPriority w:val="99"/>
    <w:unhideWhenUsed/>
    <w:rsid w:val="006B1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099"/>
    <w:rPr>
      <w:sz w:val="22"/>
      <w:szCs w:val="22"/>
    </w:rPr>
  </w:style>
  <w:style w:type="character" w:styleId="Hyperlink">
    <w:name w:val="Hyperlink"/>
    <w:basedOn w:val="DefaultParagraphFont"/>
    <w:uiPriority w:val="99"/>
    <w:unhideWhenUsed/>
    <w:rsid w:val="006B1099"/>
    <w:rPr>
      <w:color w:val="0563C1" w:themeColor="hyperlink"/>
      <w:u w:val="single"/>
    </w:rPr>
  </w:style>
  <w:style w:type="table" w:styleId="TableGrid">
    <w:name w:val="Table Grid"/>
    <w:basedOn w:val="TableNormal"/>
    <w:rsid w:val="006B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Waddell</dc:creator>
  <cp:keywords/>
  <dc:description/>
  <cp:lastModifiedBy>Ms. Waddell</cp:lastModifiedBy>
  <cp:revision>2</cp:revision>
  <cp:lastPrinted>2019-06-28T18:57:00Z</cp:lastPrinted>
  <dcterms:created xsi:type="dcterms:W3CDTF">2020-07-16T17:12:00Z</dcterms:created>
  <dcterms:modified xsi:type="dcterms:W3CDTF">2020-07-16T17:12:00Z</dcterms:modified>
</cp:coreProperties>
</file>